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木垒哈萨克自治县地震台</w:t>
      </w:r>
    </w:p>
    <w:p>
      <w:pPr>
        <w:jc w:val="center"/>
        <w:rPr>
          <w:rFonts w:ascii="方正小标宋_GBK" w:hAnsi="宋体" w:eastAsia="方正小标宋_GBK"/>
          <w:sz w:val="44"/>
          <w:szCs w:val="44"/>
        </w:rPr>
      </w:pPr>
      <w:r>
        <w:rPr>
          <w:rFonts w:hint="eastAsia" w:ascii="方正小标宋_GBK" w:hAnsi="宋体" w:eastAsia="方正小标宋_GBK"/>
          <w:sz w:val="44"/>
          <w:szCs w:val="44"/>
        </w:rPr>
        <w:t>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pPr>
        <w:ind w:firstLine="640" w:firstLineChars="200"/>
        <w:jc w:val="left"/>
        <w:rPr>
          <w:rFonts w:ascii="仿宋_GB2312" w:eastAsia="仿宋_GB2312"/>
          <w:sz w:val="32"/>
          <w:szCs w:val="32"/>
        </w:rPr>
      </w:pPr>
      <w:r>
        <w:rPr>
          <w:rFonts w:hint="eastAsia" w:ascii="仿宋_GB2312" w:eastAsia="仿宋_GB2312"/>
          <w:sz w:val="32"/>
          <w:szCs w:val="32"/>
        </w:rPr>
        <w:t>昌吉州木垒哈萨克自治县地震台主要承担木垒县地震监测，建立震情跟踪会商制度，提高地震监测预报能力；承担对震活动与地震前兆的信息检测，传递、分析、处理；会同有关部门组织和培训地震紧急救援队伍；组织开展水库、火山地震的监测和研究工作，会同有关部门防范地震次生灾害。</w:t>
      </w:r>
    </w:p>
    <w:p>
      <w:pPr>
        <w:ind w:firstLine="640" w:firstLineChars="200"/>
        <w:outlineLvl w:val="1"/>
        <w:rPr>
          <w:rFonts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木垒哈萨克自治县地震台2023年度，实有人数</w:t>
      </w:r>
      <w:r>
        <w:rPr>
          <w:rFonts w:hint="eastAsia" w:ascii="仿宋_GB2312" w:eastAsia="仿宋_GB2312"/>
          <w:sz w:val="32"/>
          <w:szCs w:val="32"/>
          <w:lang w:val="zh-CN"/>
        </w:rPr>
        <w:t>9</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w:t>
      </w:r>
      <w:r>
        <w:rPr>
          <w:rFonts w:hint="eastAsia" w:ascii="仿宋_GB2312" w:eastAsia="仿宋_GB2312"/>
          <w:sz w:val="32"/>
          <w:szCs w:val="32"/>
        </w:rPr>
        <w:t>人。</w:t>
      </w:r>
    </w:p>
    <w:p>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w:t>
      </w:r>
      <w:r>
        <w:rPr>
          <w:rFonts w:hint="eastAsia" w:ascii="仿宋_GB2312" w:eastAsia="仿宋_GB2312" w:cs="仿宋_GB2312"/>
          <w:kern w:val="0"/>
          <w:sz w:val="32"/>
          <w:szCs w:val="32"/>
          <w:lang w:val="zh-CN"/>
        </w:rPr>
        <w:t>财务室、办公室、监测室</w:t>
      </w:r>
      <w:r>
        <w:rPr>
          <w:rFonts w:hint="eastAsia" w:ascii="仿宋_GB2312" w:hAnsi="宋体" w:eastAsia="仿宋_GB2312" w:cs="宋体"/>
          <w:kern w:val="0"/>
          <w:sz w:val="32"/>
          <w:szCs w:val="32"/>
        </w:rPr>
        <w:t>。</w:t>
      </w:r>
    </w:p>
    <w:p>
      <w:pPr>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2023年度收入总计103.77万元，其中：本年收入合计103.77万元，使用非财政拨款结余0.00万元，年初结转和结余0.00万元。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2023年度支出总计103.77万元，其中：本年支出合计103.77万元，结余分配0.00万元，年末结转和结余0.00万元。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增加12.42万元</w:t>
      </w:r>
      <w:r>
        <w:rPr>
          <w:rFonts w:hint="eastAsia" w:ascii="仿宋_GB2312" w:eastAsia="仿宋_GB2312"/>
          <w:sz w:val="32"/>
          <w:szCs w:val="32"/>
        </w:rPr>
        <w:t>，增长13.60%，主要原因是：工资调标准、社保、公积金调整基数。</w:t>
      </w:r>
    </w:p>
    <w:p>
      <w:pPr>
        <w:ind w:firstLine="640" w:firstLineChars="200"/>
        <w:jc w:val="left"/>
        <w:outlineLvl w:val="1"/>
        <w:rPr>
          <w:rFonts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本年收入103.77万元，其中：财政拨款收入</w:t>
      </w:r>
      <w:r>
        <w:rPr>
          <w:rFonts w:hint="eastAsia" w:ascii="仿宋_GB2312" w:eastAsia="仿宋_GB2312"/>
          <w:sz w:val="32"/>
          <w:szCs w:val="32"/>
          <w:lang w:val="zh-CN"/>
        </w:rPr>
        <w:t>103.77</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本年支出103.77万元，其中：基本支出103.77万元，占100.00%；项目支出0.00万元，占0.00%；上缴上级支出0.00万元，占0.00%；经营支出0.00万元，占0.00%；对附属单位补助支出0.00万元，占0.00%。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103.77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103.77</w:t>
      </w:r>
      <w:r>
        <w:rPr>
          <w:rFonts w:hint="eastAsia" w:ascii="仿宋_GB2312" w:eastAsia="仿宋_GB2312"/>
          <w:sz w:val="32"/>
          <w:szCs w:val="32"/>
        </w:rPr>
        <w:t>万元。财政拨款支出总计</w:t>
      </w:r>
      <w:r>
        <w:rPr>
          <w:rFonts w:hint="eastAsia" w:ascii="仿宋_GB2312" w:eastAsia="仿宋_GB2312"/>
          <w:sz w:val="32"/>
          <w:szCs w:val="32"/>
          <w:lang w:val="zh-CN"/>
        </w:rPr>
        <w:t>103.77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103.77</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增加12.42万元</w:t>
      </w:r>
      <w:r>
        <w:rPr>
          <w:rFonts w:hint="eastAsia" w:ascii="仿宋_GB2312" w:eastAsia="仿宋_GB2312"/>
          <w:sz w:val="32"/>
          <w:szCs w:val="32"/>
        </w:rPr>
        <w:t>，增长13.60%,主要原因是：工资调标准、社保、公积金调整基数。与年初预算相比，年初预算数</w:t>
      </w:r>
      <w:r>
        <w:rPr>
          <w:rFonts w:hint="eastAsia" w:ascii="仿宋_GB2312" w:eastAsia="仿宋_GB2312"/>
          <w:sz w:val="32"/>
          <w:szCs w:val="32"/>
          <w:lang w:val="zh-CN"/>
        </w:rPr>
        <w:t>94.78</w:t>
      </w:r>
      <w:r>
        <w:rPr>
          <w:rFonts w:hint="eastAsia" w:ascii="仿宋_GB2312" w:eastAsia="仿宋_GB2312"/>
          <w:sz w:val="32"/>
          <w:szCs w:val="32"/>
        </w:rPr>
        <w:t>万元，决算数</w:t>
      </w:r>
      <w:r>
        <w:rPr>
          <w:rFonts w:hint="eastAsia" w:ascii="仿宋_GB2312" w:eastAsia="仿宋_GB2312"/>
          <w:sz w:val="32"/>
          <w:szCs w:val="32"/>
          <w:lang w:val="zh-CN"/>
        </w:rPr>
        <w:t>103.77</w:t>
      </w:r>
      <w:r>
        <w:rPr>
          <w:rFonts w:hint="eastAsia" w:ascii="仿宋_GB2312" w:eastAsia="仿宋_GB2312"/>
          <w:sz w:val="32"/>
          <w:szCs w:val="32"/>
        </w:rPr>
        <w:t>万元，预决算差异率9.49%，主要原因是：年中追加采暖费及独生子女奖励金。</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2023年度一般公共预算财政拨款支出103.77万元，占本年支出合计的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增加12.42万元</w:t>
      </w:r>
      <w:r>
        <w:rPr>
          <w:rFonts w:hint="eastAsia" w:ascii="仿宋_GB2312" w:eastAsia="仿宋_GB2312"/>
          <w:sz w:val="32"/>
          <w:szCs w:val="32"/>
        </w:rPr>
        <w:t>，增长13.60%,主要原因是：工资调标准、社保、公积金调整基数。与年初预算相比，年初预算数</w:t>
      </w:r>
      <w:r>
        <w:rPr>
          <w:rFonts w:hint="eastAsia" w:ascii="仿宋_GB2312" w:eastAsia="仿宋_GB2312"/>
          <w:sz w:val="32"/>
          <w:szCs w:val="32"/>
          <w:lang w:val="zh-CN"/>
        </w:rPr>
        <w:t>94.78</w:t>
      </w:r>
      <w:r>
        <w:rPr>
          <w:rFonts w:hint="eastAsia" w:ascii="仿宋_GB2312" w:eastAsia="仿宋_GB2312"/>
          <w:sz w:val="32"/>
          <w:szCs w:val="32"/>
        </w:rPr>
        <w:t>万元，决算数</w:t>
      </w:r>
      <w:r>
        <w:rPr>
          <w:rFonts w:hint="eastAsia" w:ascii="仿宋_GB2312" w:eastAsia="仿宋_GB2312"/>
          <w:sz w:val="32"/>
          <w:szCs w:val="32"/>
          <w:lang w:val="zh-CN"/>
        </w:rPr>
        <w:t>103.77</w:t>
      </w:r>
      <w:r>
        <w:rPr>
          <w:rFonts w:hint="eastAsia" w:ascii="仿宋_GB2312" w:eastAsia="仿宋_GB2312"/>
          <w:sz w:val="32"/>
          <w:szCs w:val="32"/>
        </w:rPr>
        <w:t>万元，预决算差异率</w:t>
      </w:r>
      <w:r>
        <w:rPr>
          <w:rFonts w:hint="eastAsia" w:ascii="仿宋_GB2312" w:eastAsia="仿宋_GB2312"/>
          <w:sz w:val="32"/>
          <w:szCs w:val="32"/>
          <w:lang w:val="zh-CN"/>
        </w:rPr>
        <w:t>9.49%</w:t>
      </w:r>
      <w:r>
        <w:rPr>
          <w:rFonts w:hint="eastAsia" w:ascii="仿宋_GB2312" w:eastAsia="仿宋_GB2312"/>
          <w:sz w:val="32"/>
          <w:szCs w:val="32"/>
        </w:rPr>
        <w:t>，主要原因是：年中追加采暖费及独生子女奖励金。</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11.08</w:t>
      </w:r>
      <w:r>
        <w:rPr>
          <w:rFonts w:ascii="仿宋_GB2312" w:eastAsia="仿宋_GB2312"/>
          <w:kern w:val="2"/>
          <w:sz w:val="32"/>
          <w:szCs w:val="32"/>
          <w:lang w:val="zh-CN"/>
        </w:rPr>
        <w:t>万元，占</w:t>
      </w:r>
      <w:r>
        <w:rPr>
          <w:rFonts w:hint="eastAsia" w:ascii="仿宋_GB2312" w:eastAsia="仿宋_GB2312"/>
          <w:kern w:val="2"/>
          <w:sz w:val="32"/>
          <w:szCs w:val="32"/>
          <w:lang w:val="zh-CN"/>
        </w:rPr>
        <w:t>10.68</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6.79</w:t>
      </w:r>
      <w:r>
        <w:rPr>
          <w:rFonts w:ascii="仿宋_GB2312" w:eastAsia="仿宋_GB2312"/>
          <w:kern w:val="2"/>
          <w:sz w:val="32"/>
          <w:szCs w:val="32"/>
          <w:lang w:val="zh-CN"/>
        </w:rPr>
        <w:t>万元，占</w:t>
      </w:r>
      <w:r>
        <w:rPr>
          <w:rFonts w:hint="eastAsia" w:ascii="仿宋_GB2312" w:eastAsia="仿宋_GB2312"/>
          <w:kern w:val="2"/>
          <w:sz w:val="32"/>
          <w:szCs w:val="32"/>
          <w:lang w:val="zh-CN"/>
        </w:rPr>
        <w:t>6.54</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.害防治及应急管理支出（类）</w:t>
      </w:r>
      <w:r>
        <w:rPr>
          <w:rFonts w:hint="eastAsia" w:ascii="仿宋_GB2312" w:eastAsia="仿宋_GB2312"/>
          <w:kern w:val="2"/>
          <w:sz w:val="32"/>
          <w:szCs w:val="32"/>
          <w:lang w:val="zh-CN"/>
        </w:rPr>
        <w:t>85.91</w:t>
      </w:r>
      <w:r>
        <w:rPr>
          <w:rFonts w:ascii="仿宋_GB2312" w:eastAsia="仿宋_GB2312"/>
          <w:kern w:val="2"/>
          <w:sz w:val="32"/>
          <w:szCs w:val="32"/>
          <w:lang w:val="zh-CN"/>
        </w:rPr>
        <w:t>万元，占</w:t>
      </w:r>
      <w:r>
        <w:rPr>
          <w:rFonts w:hint="eastAsia" w:ascii="仿宋_GB2312" w:eastAsia="仿宋_GB2312"/>
          <w:kern w:val="2"/>
          <w:sz w:val="32"/>
          <w:szCs w:val="32"/>
          <w:lang w:val="zh-CN"/>
        </w:rPr>
        <w:t>82.78</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rPr>
      </w:pPr>
      <w:r>
        <w:rPr>
          <w:rFonts w:hint="eastAsia" w:ascii="仿宋_GB2312" w:eastAsia="仿宋_GB2312"/>
          <w:sz w:val="32"/>
          <w:szCs w:val="32"/>
        </w:rPr>
        <w:t>1.灾害防治及应急管理支出（类）地震事务（款）地震监测（项）:支出决算数为0.36万元，比上年决算增加0.00万元，增长0.00%，主要原因是：与上年对比无差异。</w:t>
      </w:r>
    </w:p>
    <w:p>
      <w:pPr>
        <w:ind w:firstLine="640" w:firstLineChars="200"/>
        <w:jc w:val="left"/>
        <w:rPr>
          <w:rFonts w:ascii="仿宋_GB2312" w:eastAsia="仿宋_GB2312"/>
          <w:sz w:val="32"/>
          <w:szCs w:val="32"/>
        </w:rPr>
      </w:pPr>
      <w:r>
        <w:rPr>
          <w:rFonts w:hint="eastAsia" w:ascii="仿宋_GB2312" w:eastAsia="仿宋_GB2312"/>
          <w:sz w:val="32"/>
          <w:szCs w:val="32"/>
        </w:rPr>
        <w:t>2.住房保障支出（类）住房改革支出（款）住房公积金（项）:支出决算数为6.79万元，比上年决算增加0.27万元，增长4.16%，主要原因是：工资调资相应公积金增加。</w:t>
      </w:r>
    </w:p>
    <w:p>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3.社会保障和就业支出（类）抚恤（款）死亡抚恤（项）:支出决算数为0.79万元，比上年决算增加0.00万元，增长0.00%，主要原因是：与上年对比无差异。</w:t>
      </w:r>
    </w:p>
    <w:p>
      <w:pPr>
        <w:ind w:firstLine="640" w:firstLineChars="200"/>
        <w:jc w:val="left"/>
        <w:rPr>
          <w:rFonts w:ascii="仿宋_GB2312" w:eastAsia="仿宋_GB2312"/>
          <w:sz w:val="32"/>
          <w:szCs w:val="32"/>
        </w:rPr>
      </w:pPr>
      <w:r>
        <w:rPr>
          <w:rFonts w:hint="eastAsia" w:ascii="仿宋_GB2312" w:eastAsia="仿宋_GB2312"/>
          <w:sz w:val="32"/>
          <w:szCs w:val="32"/>
        </w:rPr>
        <w:t>4.灾害防治及应急管理支出（类）地震事务（款）地震事业机构（项）:支出决算数为85.55万元，比上年决算增加13.71万元，增长19.08%，主要原因是：本年单位工资调标准，相应基本工资增加。</w:t>
      </w:r>
    </w:p>
    <w:p>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5.社会保障和就业支出（类）行政事业单位养老支出（款）事业单位离退休（项）:支出决算数为1.33万元，比上年决算增加1.33万元，增长100%，主要原因是：增加退休人员采暖费及独生子女奖励金。</w:t>
      </w:r>
    </w:p>
    <w:p>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基本养老保险缴费支出（项）:支出决算数为8.96万元，比上年决算减少0.20万元，下降2.14%，主要原因是：本年单位社保经费预算财政未拨付到位，因此造成支出减少。</w:t>
      </w:r>
    </w:p>
    <w:p>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7.社会保障和就业支出（类）行政事业单位养老支出（款）行政单位离退休（项）:支出决算数为0.00万元，比上年决算减少0.58万元，下降100%，主要原因是：本年无此项支出。</w:t>
      </w:r>
    </w:p>
    <w:p>
      <w:pPr>
        <w:ind w:firstLine="640" w:firstLineChars="200"/>
        <w:jc w:val="left"/>
        <w:rPr>
          <w:rFonts w:ascii="仿宋_GB2312" w:eastAsia="仿宋_GB2312"/>
          <w:sz w:val="32"/>
          <w:szCs w:val="32"/>
        </w:rPr>
      </w:pPr>
      <w:r>
        <w:rPr>
          <w:rFonts w:hint="eastAsia" w:ascii="仿宋_GB2312" w:eastAsia="仿宋_GB2312"/>
          <w:sz w:val="32"/>
          <w:szCs w:val="32"/>
        </w:rPr>
        <w:t>8.灾害防治及应急管理支出（类）地震事务（款）防震减灾基础管理（项）:支出决算数为0.00万元，比上年决算减少2.11万元，下降100%，主要原因是：本年无此项支出。</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103.77万元，其中：人员经费92.44万元，包括：基本工资、津贴补贴、奖金、机关事业单位基本养老保险缴费、职工基本医疗保险缴费、公务员医疗补助缴费、其他社会保障缴费、住房公积金、退休费、生活补助、奖励金、其他对个人和家庭的补助。</w:t>
      </w:r>
    </w:p>
    <w:p>
      <w:pPr>
        <w:ind w:firstLine="640" w:firstLineChars="200"/>
        <w:jc w:val="left"/>
        <w:rPr>
          <w:rFonts w:ascii="仿宋_GB2312" w:eastAsia="仿宋_GB2312"/>
          <w:sz w:val="32"/>
          <w:szCs w:val="32"/>
        </w:rPr>
      </w:pPr>
      <w:r>
        <w:rPr>
          <w:rFonts w:hint="eastAsia" w:ascii="仿宋_GB2312" w:eastAsia="仿宋_GB2312"/>
          <w:sz w:val="32"/>
          <w:szCs w:val="32"/>
        </w:rPr>
        <w:t>公用经费11.33万元，包括：办公费、电费、邮电费、取暖费、差旅费、维修（护）费、租赁费、劳务费、办公设备购置。</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减少0.20万元，</w:t>
      </w:r>
      <w:r>
        <w:rPr>
          <w:rFonts w:hint="eastAsia" w:ascii="仿宋_GB2312" w:eastAsia="仿宋_GB2312"/>
          <w:sz w:val="32"/>
          <w:szCs w:val="32"/>
        </w:rPr>
        <w:t>下降100.00%,</w:t>
      </w:r>
      <w:r>
        <w:rPr>
          <w:rFonts w:hint="eastAsia" w:ascii="仿宋_GB2312" w:eastAsia="仿宋_GB2312"/>
          <w:sz w:val="32"/>
          <w:szCs w:val="32"/>
          <w:lang w:val="zh-CN"/>
        </w:rPr>
        <w:t>主要原因是：车辆不在本单位使用，因此经费减少。其中：因公出国（境）费支出0.00万元，占0.00%，比上年增加0.00万元，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主要原因是：我单位本年无此项支出；公务用车购置及运行维护费支出0.00万元，占0.00%，比上年减少0.20万元，</w:t>
      </w:r>
      <w:r>
        <w:rPr>
          <w:rFonts w:hint="eastAsia" w:ascii="仿宋_GB2312" w:eastAsia="仿宋_GB2312"/>
          <w:sz w:val="32"/>
          <w:szCs w:val="32"/>
        </w:rPr>
        <w:t>下降100.00%,</w:t>
      </w:r>
      <w:r>
        <w:rPr>
          <w:rFonts w:hint="eastAsia" w:ascii="仿宋_GB2312" w:eastAsia="仿宋_GB2312"/>
          <w:sz w:val="32"/>
          <w:szCs w:val="32"/>
          <w:lang w:val="zh-CN"/>
        </w:rPr>
        <w:t>主要原因是：车辆不在本单位使用，因此经费减少；公务接待费支出0.00万元，占0.00%，比上年增加0.00万元，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主要原因是：我单位本年无此项支出。</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因公出国（境）费支出0.00万元，开支内容包括我单位本年无此项支出。单位全年安排的因公出国（境）团组0个，因公出国（境）0人次。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我单位本年无此项支出。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原因是：车辆在其他单位使用。</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公务接待费0.00万元，开支内容包括我单位本年无此项支出。单位全年安排的国内公务接待0批次，0人次。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预算数0.00万元，决算数0.00万元，预决算差异率0.00%，主要原因是：我单位本年无此项支出。其中：因公出国（境）费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0.00万元，决算数0.00万元，预决算差异率0.00%，主要原因是：我单位本年无此项支出；公务用车购置费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预算数0.00万元，决算数0.00万元，预决算差异率0.00%，主要原因是：我单位本年无此项支出；公务用车运行费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预算数0.00万元，决算数0.00万元，预决算差异率0.00%，主要原因是：我单位本年无此项支出；公务接待费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预算数0.00万元，决算数0.00万元，预决算差异率0.00%，主要原因是：我单位本年无此项支出。</w:t>
      </w:r>
    </w:p>
    <w:p>
      <w:pPr>
        <w:ind w:firstLine="640" w:firstLineChars="200"/>
        <w:jc w:val="left"/>
        <w:outlineLvl w:val="1"/>
        <w:rPr>
          <w:rFonts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2023年度木垒哈萨克自治县地震台（行政单位和参照公务员法管理事业单位）机关运行经费支出11.33万元，比上年增加8.20万元，增长262.61%，主要原因是：本年单位租车费及劳务费增加。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2023年度政府采购支出总额10.12万元，其中：政府采购货物支出3.14万元、政府采购工程支出6.98万元、政府采购服务支出0.00万元。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授予中小企业合同金额10.12万元，占政府采购支出总额的100.00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，其中：授予小微企业合同金额10.12万元，占政府采购支出总额的100.00</w:t>
      </w:r>
      <w:r>
        <w:rPr>
          <w:rFonts w:ascii="仿宋_GB2312" w:eastAsia="仿宋_GB2312"/>
          <w:sz w:val="32"/>
          <w:szCs w:val="32"/>
        </w:rPr>
        <w:t>%</w:t>
      </w:r>
      <w:r>
        <w:rPr>
          <w:rFonts w:hint="eastAsia" w:ascii="仿宋_GB2312" w:eastAsia="仿宋_GB2312"/>
          <w:sz w:val="32"/>
          <w:szCs w:val="32"/>
        </w:rPr>
        <w:t>。</w:t>
      </w:r>
    </w:p>
    <w:p>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9.53万元，房屋0.00平方米，价值0.00万元。车辆1辆，价值3.00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ind w:firstLine="640" w:firstLineChars="200"/>
        <w:jc w:val="left"/>
        <w:outlineLvl w:val="1"/>
        <w:rPr>
          <w:rFonts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103.77</w:t>
      </w:r>
      <w:r>
        <w:rPr>
          <w:rFonts w:hint="eastAsia" w:ascii="仿宋_GB2312" w:eastAsia="仿宋_GB2312"/>
          <w:sz w:val="32"/>
          <w:szCs w:val="32"/>
        </w:rPr>
        <w:t>万元，实际执行总额</w:t>
      </w:r>
      <w:r>
        <w:rPr>
          <w:rFonts w:ascii="仿宋_GB2312" w:eastAsia="仿宋_GB2312"/>
          <w:sz w:val="32"/>
          <w:szCs w:val="32"/>
        </w:rPr>
        <w:t>103.77</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113"/>
        <w:gridCol w:w="1320"/>
        <w:gridCol w:w="1282"/>
        <w:gridCol w:w="1283"/>
        <w:gridCol w:w="939"/>
        <w:gridCol w:w="768"/>
        <w:gridCol w:w="4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000" w:type="pct"/>
            <w:gridSpan w:val="8"/>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部门（单位）整体支出绩效目标自评表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000" w:type="pct"/>
            <w:gridSpan w:val="8"/>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12" w:type="pct"/>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部门（单位）名称</w:t>
            </w:r>
          </w:p>
        </w:tc>
        <w:tc>
          <w:tcPr>
            <w:tcW w:w="4187" w:type="pct"/>
            <w:gridSpan w:val="7"/>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木垒哈萨克自治县地震台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812" w:type="pct"/>
            <w:vMerge w:val="restar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部门资金（万元）</w:t>
            </w:r>
          </w:p>
        </w:tc>
        <w:tc>
          <w:tcPr>
            <w:tcW w:w="65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资金来源</w:t>
            </w:r>
          </w:p>
        </w:tc>
        <w:tc>
          <w:tcPr>
            <w:tcW w:w="77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年初预算数</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全年预算数</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全年执行数</w:t>
            </w:r>
          </w:p>
        </w:tc>
        <w:tc>
          <w:tcPr>
            <w:tcW w:w="5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分值权重</w:t>
            </w:r>
          </w:p>
        </w:tc>
        <w:tc>
          <w:tcPr>
            <w:tcW w:w="4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执行率</w:t>
            </w:r>
          </w:p>
        </w:tc>
        <w:tc>
          <w:tcPr>
            <w:tcW w:w="25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12" w:type="pct"/>
            <w:vMerge w:val="continue"/>
            <w:vAlign w:val="center"/>
          </w:tcPr>
          <w:p>
            <w:pPr>
              <w:widowControl/>
              <w:jc w:val="left"/>
              <w:rPr>
                <w:rFonts w:ascii="宋体" w:hAnsi="宋体" w:cs="宋体"/>
                <w:kern w:val="0"/>
                <w:sz w:val="20"/>
                <w:szCs w:val="20"/>
              </w:rPr>
            </w:pPr>
          </w:p>
        </w:tc>
        <w:tc>
          <w:tcPr>
            <w:tcW w:w="653" w:type="pct"/>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中央安排</w:t>
            </w:r>
          </w:p>
        </w:tc>
        <w:tc>
          <w:tcPr>
            <w:tcW w:w="77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5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c>
          <w:tcPr>
            <w:tcW w:w="4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100%</w:t>
            </w:r>
          </w:p>
        </w:tc>
        <w:tc>
          <w:tcPr>
            <w:tcW w:w="25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12" w:type="pct"/>
            <w:vMerge w:val="continue"/>
            <w:vAlign w:val="center"/>
          </w:tcPr>
          <w:p>
            <w:pPr>
              <w:widowControl/>
              <w:jc w:val="left"/>
              <w:rPr>
                <w:rFonts w:ascii="宋体" w:hAnsi="宋体" w:cs="宋体"/>
                <w:kern w:val="0"/>
                <w:sz w:val="20"/>
                <w:szCs w:val="20"/>
              </w:rPr>
            </w:pPr>
          </w:p>
        </w:tc>
        <w:tc>
          <w:tcPr>
            <w:tcW w:w="65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自治区安排</w:t>
            </w:r>
          </w:p>
        </w:tc>
        <w:tc>
          <w:tcPr>
            <w:tcW w:w="77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5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4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25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12" w:type="pct"/>
            <w:vMerge w:val="continue"/>
            <w:vAlign w:val="center"/>
          </w:tcPr>
          <w:p>
            <w:pPr>
              <w:widowControl/>
              <w:jc w:val="left"/>
              <w:rPr>
                <w:rFonts w:ascii="宋体" w:hAnsi="宋体" w:cs="宋体"/>
                <w:kern w:val="0"/>
                <w:sz w:val="20"/>
                <w:szCs w:val="20"/>
              </w:rPr>
            </w:pPr>
          </w:p>
        </w:tc>
        <w:tc>
          <w:tcPr>
            <w:tcW w:w="65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地（州、市）安排</w:t>
            </w:r>
          </w:p>
        </w:tc>
        <w:tc>
          <w:tcPr>
            <w:tcW w:w="77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5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4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25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12" w:type="pct"/>
            <w:vMerge w:val="continue"/>
            <w:vAlign w:val="center"/>
          </w:tcPr>
          <w:p>
            <w:pPr>
              <w:widowControl/>
              <w:jc w:val="left"/>
              <w:rPr>
                <w:rFonts w:ascii="宋体" w:hAnsi="宋体" w:cs="宋体"/>
                <w:kern w:val="0"/>
                <w:sz w:val="20"/>
                <w:szCs w:val="20"/>
              </w:rPr>
            </w:pPr>
          </w:p>
        </w:tc>
        <w:tc>
          <w:tcPr>
            <w:tcW w:w="65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县（市、区）安排</w:t>
            </w:r>
          </w:p>
        </w:tc>
        <w:tc>
          <w:tcPr>
            <w:tcW w:w="77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94.78 </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103.77 </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103.77 </w:t>
            </w:r>
          </w:p>
        </w:tc>
        <w:tc>
          <w:tcPr>
            <w:tcW w:w="5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5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12" w:type="pct"/>
            <w:vMerge w:val="continue"/>
            <w:vAlign w:val="center"/>
          </w:tcPr>
          <w:p>
            <w:pPr>
              <w:widowControl/>
              <w:jc w:val="left"/>
              <w:rPr>
                <w:rFonts w:ascii="宋体" w:hAnsi="宋体" w:cs="宋体"/>
                <w:kern w:val="0"/>
                <w:sz w:val="20"/>
                <w:szCs w:val="20"/>
              </w:rPr>
            </w:pPr>
          </w:p>
        </w:tc>
        <w:tc>
          <w:tcPr>
            <w:tcW w:w="65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其他资金</w:t>
            </w:r>
          </w:p>
        </w:tc>
        <w:tc>
          <w:tcPr>
            <w:tcW w:w="77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0.00 </w:t>
            </w:r>
          </w:p>
        </w:tc>
        <w:tc>
          <w:tcPr>
            <w:tcW w:w="5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4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5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12" w:type="pct"/>
            <w:vMerge w:val="continue"/>
            <w:vAlign w:val="center"/>
          </w:tcPr>
          <w:p>
            <w:pPr>
              <w:widowControl/>
              <w:jc w:val="left"/>
              <w:rPr>
                <w:rFonts w:ascii="宋体" w:hAnsi="宋体" w:cs="宋体"/>
                <w:kern w:val="0"/>
                <w:sz w:val="20"/>
                <w:szCs w:val="20"/>
              </w:rPr>
            </w:pPr>
          </w:p>
        </w:tc>
        <w:tc>
          <w:tcPr>
            <w:tcW w:w="65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合计</w:t>
            </w:r>
          </w:p>
        </w:tc>
        <w:tc>
          <w:tcPr>
            <w:tcW w:w="77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94.78 </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103.77 </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103.77 </w:t>
            </w:r>
          </w:p>
        </w:tc>
        <w:tc>
          <w:tcPr>
            <w:tcW w:w="5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4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25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812" w:type="pct"/>
            <w:vMerge w:val="restar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年度总体目标</w:t>
            </w:r>
          </w:p>
        </w:tc>
        <w:tc>
          <w:tcPr>
            <w:tcW w:w="2179" w:type="pct"/>
            <w:gridSpan w:val="3"/>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2008" w:type="pct"/>
            <w:gridSpan w:val="4"/>
            <w:shd w:val="clear" w:color="auto" w:fill="auto"/>
            <w:noWrap/>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812" w:type="pct"/>
            <w:vMerge w:val="continue"/>
            <w:vAlign w:val="center"/>
          </w:tcPr>
          <w:p>
            <w:pPr>
              <w:widowControl/>
              <w:jc w:val="left"/>
              <w:rPr>
                <w:rFonts w:ascii="宋体" w:hAnsi="宋体" w:cs="宋体"/>
                <w:kern w:val="0"/>
                <w:sz w:val="20"/>
                <w:szCs w:val="20"/>
              </w:rPr>
            </w:pPr>
          </w:p>
        </w:tc>
        <w:tc>
          <w:tcPr>
            <w:tcW w:w="2179" w:type="pct"/>
            <w:gridSpan w:val="3"/>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开展地震监测预报工作，完成全年365天的地震监测数据分析、上报工作；开展防震减灾宣传2次，普及防震减灾知识，提高全社会的减灾意识；建成宏观观测点5个，按照上级业务部门的工作要求，及时上报观测记录；保障宏观观测点观测补助经费1.2万元；负责震情速报和地震灾情上报，保证地震观测资料、观测数据的及时上报，并负责向上级主管部门提供对本地区的地震分析预报意见；</w:t>
            </w:r>
          </w:p>
        </w:tc>
        <w:tc>
          <w:tcPr>
            <w:tcW w:w="2008" w:type="pct"/>
            <w:gridSpan w:val="4"/>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截止2023年部门整体自评节点，我单位已完成如下工作：完成了全年365天的地震监测数据分析、上报工作；开展防震减灾宣传2次，普及防震减灾知识，提高全社会的减灾意识；建成宏观观测点5个，按照上级业务部门的工作要求，及时上报了观测记录；保障了宏观观测点观测补助经费1.2万元；完成了监测区域内发生地震时的震情速报和地震灾情上报；全年开展了2次观测员的培训，培训率达到100%；地震观测资料、观测数据的及时上报，并向上级主管部门提供对本地区的地震分析预报意见；维护了测震设备的正常运转，全年地震监测数据连续率达到95%以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65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77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指标值设定依据</w:t>
            </w:r>
          </w:p>
        </w:tc>
        <w:tc>
          <w:tcPr>
            <w:tcW w:w="5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分值权重</w:t>
            </w:r>
          </w:p>
        </w:tc>
        <w:tc>
          <w:tcPr>
            <w:tcW w:w="4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w:t>
            </w:r>
          </w:p>
        </w:tc>
        <w:tc>
          <w:tcPr>
            <w:tcW w:w="25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1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运行成本</w:t>
            </w:r>
          </w:p>
        </w:tc>
        <w:tc>
          <w:tcPr>
            <w:tcW w:w="653" w:type="pct"/>
            <w:vMerge w:val="restar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77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保障办公人员数量</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&gt;=5人</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关于木垒哈萨克自治县应急管理局所属事业单位机构编制调整有关事宜的通知</w:t>
            </w:r>
          </w:p>
        </w:tc>
        <w:tc>
          <w:tcPr>
            <w:tcW w:w="5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w:t>
            </w:r>
          </w:p>
        </w:tc>
        <w:tc>
          <w:tcPr>
            <w:tcW w:w="4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5人</w:t>
            </w:r>
          </w:p>
        </w:tc>
        <w:tc>
          <w:tcPr>
            <w:tcW w:w="25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12" w:type="pct"/>
            <w:vMerge w:val="restar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管理效率</w:t>
            </w:r>
          </w:p>
        </w:tc>
        <w:tc>
          <w:tcPr>
            <w:tcW w:w="653" w:type="pct"/>
            <w:vMerge w:val="continue"/>
            <w:vAlign w:val="center"/>
          </w:tcPr>
          <w:p>
            <w:pPr>
              <w:widowControl/>
              <w:jc w:val="left"/>
              <w:rPr>
                <w:rFonts w:ascii="宋体" w:hAnsi="宋体" w:cs="宋体"/>
                <w:kern w:val="0"/>
                <w:sz w:val="20"/>
                <w:szCs w:val="20"/>
              </w:rPr>
            </w:pPr>
          </w:p>
        </w:tc>
        <w:tc>
          <w:tcPr>
            <w:tcW w:w="77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每周政治、业务学习次数</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&gt;=1次</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木垒县地震台2023年工作计划</w:t>
            </w:r>
          </w:p>
        </w:tc>
        <w:tc>
          <w:tcPr>
            <w:tcW w:w="5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w:t>
            </w:r>
          </w:p>
        </w:tc>
        <w:tc>
          <w:tcPr>
            <w:tcW w:w="4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1次</w:t>
            </w:r>
          </w:p>
        </w:tc>
        <w:tc>
          <w:tcPr>
            <w:tcW w:w="25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12" w:type="pct"/>
            <w:vMerge w:val="continue"/>
            <w:vAlign w:val="center"/>
          </w:tcPr>
          <w:p>
            <w:pPr>
              <w:widowControl/>
              <w:jc w:val="left"/>
              <w:rPr>
                <w:rFonts w:ascii="宋体" w:hAnsi="宋体" w:cs="宋体"/>
                <w:kern w:val="0"/>
                <w:sz w:val="20"/>
                <w:szCs w:val="20"/>
              </w:rPr>
            </w:pPr>
          </w:p>
        </w:tc>
        <w:tc>
          <w:tcPr>
            <w:tcW w:w="653"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77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宏观观测点经费支出</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&lt;=1.20万元</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木垒县地震台2023年工作计划</w:t>
            </w:r>
          </w:p>
        </w:tc>
        <w:tc>
          <w:tcPr>
            <w:tcW w:w="5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w:t>
            </w:r>
          </w:p>
        </w:tc>
        <w:tc>
          <w:tcPr>
            <w:tcW w:w="4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1.2万元</w:t>
            </w:r>
          </w:p>
        </w:tc>
        <w:tc>
          <w:tcPr>
            <w:tcW w:w="25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12" w:type="pct"/>
            <w:vMerge w:val="restar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履职效能</w:t>
            </w:r>
          </w:p>
        </w:tc>
        <w:tc>
          <w:tcPr>
            <w:tcW w:w="653" w:type="pct"/>
            <w:vMerge w:val="restar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77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全年地震监测天数</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=365天</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木垒县地震台2023年工作计划</w:t>
            </w:r>
          </w:p>
        </w:tc>
        <w:tc>
          <w:tcPr>
            <w:tcW w:w="5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6</w:t>
            </w:r>
          </w:p>
        </w:tc>
        <w:tc>
          <w:tcPr>
            <w:tcW w:w="4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365天</w:t>
            </w:r>
          </w:p>
        </w:tc>
        <w:tc>
          <w:tcPr>
            <w:tcW w:w="25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12" w:type="pct"/>
            <w:vMerge w:val="continue"/>
            <w:vAlign w:val="center"/>
          </w:tcPr>
          <w:p>
            <w:pPr>
              <w:widowControl/>
              <w:jc w:val="left"/>
              <w:rPr>
                <w:rFonts w:ascii="宋体" w:hAnsi="宋体" w:cs="宋体"/>
                <w:kern w:val="0"/>
                <w:sz w:val="20"/>
                <w:szCs w:val="20"/>
              </w:rPr>
            </w:pPr>
          </w:p>
        </w:tc>
        <w:tc>
          <w:tcPr>
            <w:tcW w:w="653" w:type="pct"/>
            <w:vMerge w:val="continue"/>
            <w:vAlign w:val="center"/>
          </w:tcPr>
          <w:p>
            <w:pPr>
              <w:widowControl/>
              <w:jc w:val="left"/>
              <w:rPr>
                <w:rFonts w:ascii="宋体" w:hAnsi="宋体" w:cs="宋体"/>
                <w:kern w:val="0"/>
                <w:sz w:val="20"/>
                <w:szCs w:val="20"/>
              </w:rPr>
            </w:pPr>
          </w:p>
        </w:tc>
        <w:tc>
          <w:tcPr>
            <w:tcW w:w="77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每日数据上报次数</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=2次</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木垒县地震台2023年工作计划</w:t>
            </w:r>
          </w:p>
        </w:tc>
        <w:tc>
          <w:tcPr>
            <w:tcW w:w="5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6</w:t>
            </w:r>
          </w:p>
        </w:tc>
        <w:tc>
          <w:tcPr>
            <w:tcW w:w="4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2次</w:t>
            </w:r>
          </w:p>
        </w:tc>
        <w:tc>
          <w:tcPr>
            <w:tcW w:w="25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12" w:type="pct"/>
            <w:vMerge w:val="continue"/>
            <w:vAlign w:val="center"/>
          </w:tcPr>
          <w:p>
            <w:pPr>
              <w:widowControl/>
              <w:jc w:val="left"/>
              <w:rPr>
                <w:rFonts w:ascii="宋体" w:hAnsi="宋体" w:cs="宋体"/>
                <w:kern w:val="0"/>
                <w:sz w:val="20"/>
                <w:szCs w:val="20"/>
              </w:rPr>
            </w:pPr>
          </w:p>
        </w:tc>
        <w:tc>
          <w:tcPr>
            <w:tcW w:w="653" w:type="pct"/>
            <w:vMerge w:val="continue"/>
            <w:vAlign w:val="center"/>
          </w:tcPr>
          <w:p>
            <w:pPr>
              <w:widowControl/>
              <w:jc w:val="left"/>
              <w:rPr>
                <w:rFonts w:ascii="宋体" w:hAnsi="宋体" w:cs="宋体"/>
                <w:kern w:val="0"/>
                <w:sz w:val="20"/>
                <w:szCs w:val="20"/>
              </w:rPr>
            </w:pPr>
          </w:p>
        </w:tc>
        <w:tc>
          <w:tcPr>
            <w:tcW w:w="77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宏观观测点个数</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&gt;=5个</w:t>
            </w:r>
          </w:p>
        </w:tc>
        <w:tc>
          <w:tcPr>
            <w:tcW w:w="752"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木垒县地震台2023年工作计划</w:t>
            </w:r>
          </w:p>
        </w:tc>
        <w:tc>
          <w:tcPr>
            <w:tcW w:w="5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6</w:t>
            </w:r>
          </w:p>
        </w:tc>
        <w:tc>
          <w:tcPr>
            <w:tcW w:w="450"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5个</w:t>
            </w:r>
          </w:p>
        </w:tc>
        <w:tc>
          <w:tcPr>
            <w:tcW w:w="254" w:type="pct"/>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12" w:type="pct"/>
            <w:vMerge w:val="continue"/>
            <w:vAlign w:val="center"/>
          </w:tcPr>
          <w:p>
            <w:pPr>
              <w:widowControl/>
              <w:jc w:val="left"/>
              <w:rPr>
                <w:rFonts w:ascii="宋体" w:hAnsi="宋体" w:cs="宋体"/>
                <w:kern w:val="0"/>
                <w:sz w:val="20"/>
                <w:szCs w:val="20"/>
              </w:rPr>
            </w:pPr>
          </w:p>
        </w:tc>
        <w:tc>
          <w:tcPr>
            <w:tcW w:w="653" w:type="pct"/>
            <w:vMerge w:val="continue"/>
            <w:vAlign w:val="center"/>
          </w:tcPr>
          <w:p>
            <w:pPr>
              <w:widowControl/>
              <w:jc w:val="left"/>
              <w:rPr>
                <w:rFonts w:ascii="宋体" w:hAnsi="宋体" w:cs="宋体"/>
                <w:kern w:val="0"/>
                <w:sz w:val="20"/>
                <w:szCs w:val="20"/>
              </w:rPr>
            </w:pPr>
          </w:p>
        </w:tc>
        <w:tc>
          <w:tcPr>
            <w:tcW w:w="774"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防震减灾宣传次数</w:t>
            </w:r>
          </w:p>
        </w:tc>
        <w:tc>
          <w:tcPr>
            <w:tcW w:w="75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&gt;=2次</w:t>
            </w:r>
          </w:p>
        </w:tc>
        <w:tc>
          <w:tcPr>
            <w:tcW w:w="75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木垒县地震台2023年工作计划</w:t>
            </w:r>
          </w:p>
        </w:tc>
        <w:tc>
          <w:tcPr>
            <w:tcW w:w="55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8</w:t>
            </w:r>
          </w:p>
        </w:tc>
        <w:tc>
          <w:tcPr>
            <w:tcW w:w="45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2次</w:t>
            </w:r>
          </w:p>
        </w:tc>
        <w:tc>
          <w:tcPr>
            <w:tcW w:w="254"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12" w:type="pct"/>
            <w:vMerge w:val="continue"/>
            <w:vAlign w:val="center"/>
          </w:tcPr>
          <w:p>
            <w:pPr>
              <w:widowControl/>
              <w:jc w:val="left"/>
              <w:rPr>
                <w:rFonts w:ascii="宋体" w:hAnsi="宋体" w:cs="宋体"/>
                <w:kern w:val="0"/>
                <w:sz w:val="20"/>
                <w:szCs w:val="20"/>
              </w:rPr>
            </w:pPr>
          </w:p>
        </w:tc>
        <w:tc>
          <w:tcPr>
            <w:tcW w:w="653" w:type="pct"/>
            <w:vMerge w:val="restar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质量指标</w:t>
            </w:r>
          </w:p>
        </w:tc>
        <w:tc>
          <w:tcPr>
            <w:tcW w:w="774"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宏观观测员培训率</w:t>
            </w:r>
          </w:p>
        </w:tc>
        <w:tc>
          <w:tcPr>
            <w:tcW w:w="75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&gt;=95%</w:t>
            </w:r>
          </w:p>
        </w:tc>
        <w:tc>
          <w:tcPr>
            <w:tcW w:w="75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木垒县地震台2023年工作计划</w:t>
            </w:r>
          </w:p>
        </w:tc>
        <w:tc>
          <w:tcPr>
            <w:tcW w:w="55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10</w:t>
            </w:r>
          </w:p>
        </w:tc>
        <w:tc>
          <w:tcPr>
            <w:tcW w:w="45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95%</w:t>
            </w:r>
          </w:p>
        </w:tc>
        <w:tc>
          <w:tcPr>
            <w:tcW w:w="254"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12" w:type="pct"/>
            <w:vMerge w:val="continue"/>
            <w:vAlign w:val="center"/>
          </w:tcPr>
          <w:p>
            <w:pPr>
              <w:widowControl/>
              <w:jc w:val="left"/>
              <w:rPr>
                <w:rFonts w:ascii="宋体" w:hAnsi="宋体" w:cs="宋体"/>
                <w:kern w:val="0"/>
                <w:sz w:val="20"/>
                <w:szCs w:val="20"/>
              </w:rPr>
            </w:pPr>
          </w:p>
        </w:tc>
        <w:tc>
          <w:tcPr>
            <w:tcW w:w="653" w:type="pct"/>
            <w:vMerge w:val="continue"/>
            <w:vAlign w:val="center"/>
          </w:tcPr>
          <w:p>
            <w:pPr>
              <w:widowControl/>
              <w:jc w:val="left"/>
              <w:rPr>
                <w:rFonts w:ascii="宋体" w:hAnsi="宋体" w:cs="宋体"/>
                <w:kern w:val="0"/>
                <w:sz w:val="20"/>
                <w:szCs w:val="20"/>
              </w:rPr>
            </w:pPr>
          </w:p>
        </w:tc>
        <w:tc>
          <w:tcPr>
            <w:tcW w:w="774"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宏观宏观数据上报率</w:t>
            </w:r>
          </w:p>
        </w:tc>
        <w:tc>
          <w:tcPr>
            <w:tcW w:w="75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&gt;=100%</w:t>
            </w:r>
          </w:p>
        </w:tc>
        <w:tc>
          <w:tcPr>
            <w:tcW w:w="75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木垒县地震台2023年工作计划</w:t>
            </w:r>
          </w:p>
        </w:tc>
        <w:tc>
          <w:tcPr>
            <w:tcW w:w="55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10</w:t>
            </w:r>
          </w:p>
        </w:tc>
        <w:tc>
          <w:tcPr>
            <w:tcW w:w="45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c>
          <w:tcPr>
            <w:tcW w:w="254"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12" w:type="pct"/>
            <w:vMerge w:val="continue"/>
            <w:vAlign w:val="center"/>
          </w:tcPr>
          <w:p>
            <w:pPr>
              <w:widowControl/>
              <w:jc w:val="left"/>
              <w:rPr>
                <w:rFonts w:ascii="宋体" w:hAnsi="宋体" w:cs="宋体"/>
                <w:kern w:val="0"/>
                <w:sz w:val="20"/>
                <w:szCs w:val="20"/>
              </w:rPr>
            </w:pPr>
          </w:p>
        </w:tc>
        <w:tc>
          <w:tcPr>
            <w:tcW w:w="653"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时效指标</w:t>
            </w:r>
          </w:p>
        </w:tc>
        <w:tc>
          <w:tcPr>
            <w:tcW w:w="774"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地震、宏观监测数据上报及时率</w:t>
            </w:r>
          </w:p>
        </w:tc>
        <w:tc>
          <w:tcPr>
            <w:tcW w:w="75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c>
          <w:tcPr>
            <w:tcW w:w="75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木垒县地震台2023年工作计划</w:t>
            </w:r>
          </w:p>
        </w:tc>
        <w:tc>
          <w:tcPr>
            <w:tcW w:w="55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8</w:t>
            </w:r>
          </w:p>
        </w:tc>
        <w:tc>
          <w:tcPr>
            <w:tcW w:w="45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100%</w:t>
            </w:r>
          </w:p>
        </w:tc>
        <w:tc>
          <w:tcPr>
            <w:tcW w:w="254"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1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社会效益</w:t>
            </w:r>
          </w:p>
        </w:tc>
        <w:tc>
          <w:tcPr>
            <w:tcW w:w="653"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74"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5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5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5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5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54"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1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可持续发展能力</w:t>
            </w:r>
          </w:p>
        </w:tc>
        <w:tc>
          <w:tcPr>
            <w:tcW w:w="653"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74"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5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5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5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5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54"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81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服务对象满意度</w:t>
            </w:r>
          </w:p>
        </w:tc>
        <w:tc>
          <w:tcPr>
            <w:tcW w:w="653"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74"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5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752"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55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450"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54" w:type="pct"/>
            <w:shd w:val="clear" w:color="auto" w:fill="auto"/>
            <w:noWrap/>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ind w:firstLine="640" w:firstLineChars="200"/>
        <w:jc w:val="left"/>
        <w:rPr>
          <w:rFonts w:ascii="仿宋_GB2312" w:eastAsia="仿宋_GB2312"/>
          <w:sz w:val="32"/>
          <w:szCs w:val="32"/>
        </w:rPr>
      </w:pP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pPr>
        <w:jc w:val="center"/>
        <w:outlineLvl w:val="0"/>
        <w:rPr>
          <w:rFonts w:ascii="黑体" w:hAnsi="黑体" w:eastAsia="黑体"/>
          <w:sz w:val="32"/>
          <w:szCs w:val="32"/>
        </w:rPr>
      </w:pPr>
      <w:bookmarkStart w:id="48" w:name="_GoBack"/>
      <w:bookmarkEnd w:id="48"/>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A15E6F"/>
    <w:rsid w:val="00213C59"/>
    <w:rsid w:val="003210CE"/>
    <w:rsid w:val="0045190D"/>
    <w:rsid w:val="00475D48"/>
    <w:rsid w:val="007D0A82"/>
    <w:rsid w:val="008555D9"/>
    <w:rsid w:val="00A15E6F"/>
    <w:rsid w:val="00AB3E9F"/>
    <w:rsid w:val="00B70D59"/>
    <w:rsid w:val="00B8785B"/>
    <w:rsid w:val="00F159FB"/>
    <w:rsid w:val="00F52A8D"/>
    <w:rsid w:val="00F7582F"/>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776BD9"/>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6015</Words>
  <Characters>6769</Characters>
  <Lines>56</Lines>
  <Paragraphs>15</Paragraphs>
  <TotalTime>10</TotalTime>
  <ScaleCrop>false</ScaleCrop>
  <LinksUpToDate>false</LinksUpToDate>
  <CharactersWithSpaces>6826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静待星空</cp:lastModifiedBy>
  <dcterms:modified xsi:type="dcterms:W3CDTF">2024-08-19T03:43:40Z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